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GB"/>
        </w:rPr>
        <w:t>2022—2023学年本科生国家奖学金、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GB"/>
        </w:rPr>
        <w:t>国家励志奖学金评审名额分配表</w:t>
      </w:r>
    </w:p>
    <w:bookmarkEnd w:id="0"/>
    <w:p>
      <w:pPr>
        <w:adjustRightInd w:val="0"/>
        <w:snapToGrid w:val="0"/>
        <w:spacing w:line="400" w:lineRule="exact"/>
        <w:rPr>
          <w:rFonts w:ascii="仿宋_GB2312" w:eastAsia="仿宋_GB2312"/>
          <w:snapToGrid w:val="0"/>
          <w:spacing w:val="6"/>
          <w:kern w:val="0"/>
          <w:sz w:val="32"/>
          <w:szCs w:val="32"/>
        </w:rPr>
      </w:pPr>
    </w:p>
    <w:tbl>
      <w:tblPr>
        <w:tblStyle w:val="3"/>
        <w:tblW w:w="48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2356"/>
        <w:gridCol w:w="28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国家奖学金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名额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国家励志奖学金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能源与矿业学院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应急管理与安全工程学院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地球科学与测绘工程学院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化学与环境工程学院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机械与电气工程学院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人工智能学院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管理学院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力学与土木工程学院</w:t>
            </w:r>
          </w:p>
        </w:tc>
        <w:tc>
          <w:tcPr>
            <w:tcW w:w="1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理学院</w:t>
            </w:r>
          </w:p>
        </w:tc>
        <w:tc>
          <w:tcPr>
            <w:tcW w:w="1424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文法学院</w:t>
            </w:r>
          </w:p>
        </w:tc>
        <w:tc>
          <w:tcPr>
            <w:tcW w:w="14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总   计</w:t>
            </w:r>
          </w:p>
        </w:tc>
        <w:tc>
          <w:tcPr>
            <w:tcW w:w="1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73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WM4YzEyNjY1Mjk4MGJhNmUwYWU0MjM3MWRhZmYifQ=="/>
  </w:docVars>
  <w:rsids>
    <w:rsidRoot w:val="2B53656E"/>
    <w:rsid w:val="2B5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2023-09-20T02:54:00Z</dcterms:created>
  <dc:creator>汽水熊不睡觉</dc:creator>
  <cp:lastModifiedBy>汽水熊不睡觉</cp:lastModifiedBy>
  <dcterms:modified xsi:type="dcterms:W3CDTF">2023-09-20T02:54:54Z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8397D461E6B74D26844CCC6220438B5A_11</vt:lpwstr>
  </property>
</Properties>
</file>